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4E5B8" w14:textId="77777777" w:rsidR="006200D9" w:rsidRDefault="006200D9" w:rsidP="009F6BB6">
      <w:pPr>
        <w:pStyle w:val="Default"/>
        <w:jc w:val="center"/>
        <w:rPr>
          <w:b/>
          <w:bCs/>
          <w:sz w:val="36"/>
          <w:szCs w:val="36"/>
        </w:rPr>
      </w:pPr>
      <w:r>
        <w:rPr>
          <w:b/>
          <w:bCs/>
          <w:sz w:val="36"/>
          <w:szCs w:val="36"/>
        </w:rPr>
        <w:t>Uninte</w:t>
      </w:r>
      <w:r w:rsidR="008B21E1">
        <w:rPr>
          <w:b/>
          <w:bCs/>
          <w:sz w:val="36"/>
          <w:szCs w:val="36"/>
        </w:rPr>
        <w:t>ntional Drowning, All Ages, 2012‐2014</w:t>
      </w:r>
    </w:p>
    <w:p w14:paraId="7F0D86C0" w14:textId="77777777" w:rsidR="006200D9" w:rsidRDefault="006200D9" w:rsidP="006200D9">
      <w:pPr>
        <w:pStyle w:val="Default"/>
        <w:rPr>
          <w:sz w:val="36"/>
          <w:szCs w:val="36"/>
        </w:rPr>
      </w:pPr>
    </w:p>
    <w:p w14:paraId="44F77BD2" w14:textId="77777777" w:rsidR="006200D9" w:rsidRPr="006200D9" w:rsidRDefault="006200D9" w:rsidP="006200D9">
      <w:pPr>
        <w:pStyle w:val="Default"/>
      </w:pPr>
      <w:r w:rsidRPr="006200D9">
        <w:t xml:space="preserve">Unintentional drowning is the 4th leading cause of injury deaths to children age 0‐17. Fatal and nonfatal drowning incidents occur most often in swimming pools for children age 0‐17, while drowning incidents for adults occur most often in natural water (ocean, lakes and rivers). </w:t>
      </w:r>
    </w:p>
    <w:p w14:paraId="6555FBBB" w14:textId="77777777" w:rsidR="006200D9" w:rsidRPr="006200D9" w:rsidRDefault="006200D9" w:rsidP="006200D9">
      <w:pPr>
        <w:pStyle w:val="Default"/>
      </w:pPr>
    </w:p>
    <w:p w14:paraId="2EA729F9" w14:textId="77777777" w:rsidR="006200D9" w:rsidRPr="006200D9" w:rsidRDefault="006200D9" w:rsidP="006200D9">
      <w:pPr>
        <w:pStyle w:val="Default"/>
      </w:pPr>
      <w:r w:rsidRPr="006200D9">
        <w:t>Between the years 201</w:t>
      </w:r>
      <w:r w:rsidR="008B21E1">
        <w:t>2-</w:t>
      </w:r>
      <w:r w:rsidRPr="006200D9">
        <w:t>201</w:t>
      </w:r>
      <w:r w:rsidR="008B21E1">
        <w:t>4</w:t>
      </w:r>
      <w:r w:rsidRPr="006200D9">
        <w:t xml:space="preserve">: </w:t>
      </w:r>
    </w:p>
    <w:p w14:paraId="5E0204A8" w14:textId="77777777" w:rsidR="006200D9" w:rsidRPr="006200D9" w:rsidRDefault="008B21E1" w:rsidP="006200D9">
      <w:pPr>
        <w:pStyle w:val="Default"/>
        <w:numPr>
          <w:ilvl w:val="0"/>
          <w:numId w:val="1"/>
        </w:numPr>
      </w:pPr>
      <w:r>
        <w:t>119</w:t>
      </w:r>
      <w:r w:rsidR="006200D9" w:rsidRPr="006200D9">
        <w:t xml:space="preserve"> Miami‐Dade County residents died as a result of drowning. </w:t>
      </w:r>
    </w:p>
    <w:p w14:paraId="0E797AA6" w14:textId="77777777" w:rsidR="006200D9" w:rsidRPr="006200D9" w:rsidRDefault="008B21E1" w:rsidP="006200D9">
      <w:pPr>
        <w:pStyle w:val="Default"/>
        <w:numPr>
          <w:ilvl w:val="0"/>
          <w:numId w:val="1"/>
        </w:numPr>
      </w:pPr>
      <w:r>
        <w:t>133</w:t>
      </w:r>
      <w:r w:rsidR="006200D9" w:rsidRPr="006200D9">
        <w:t xml:space="preserve"> residents were hospitalized as a result of </w:t>
      </w:r>
      <w:r w:rsidR="005F3713">
        <w:t xml:space="preserve">non-fatal </w:t>
      </w:r>
      <w:r w:rsidR="006200D9" w:rsidRPr="006200D9">
        <w:t>drowning</w:t>
      </w:r>
      <w:r w:rsidR="005F3713">
        <w:t>s</w:t>
      </w:r>
      <w:r w:rsidR="006200D9" w:rsidRPr="006200D9">
        <w:t xml:space="preserve">. </w:t>
      </w:r>
    </w:p>
    <w:p w14:paraId="6562EF12" w14:textId="77777777" w:rsidR="008934AD" w:rsidRDefault="008B21E1" w:rsidP="006200D9">
      <w:pPr>
        <w:pStyle w:val="ListParagraph"/>
        <w:numPr>
          <w:ilvl w:val="0"/>
          <w:numId w:val="1"/>
        </w:numPr>
        <w:rPr>
          <w:sz w:val="24"/>
          <w:szCs w:val="24"/>
        </w:rPr>
      </w:pPr>
      <w:r>
        <w:rPr>
          <w:sz w:val="24"/>
          <w:szCs w:val="24"/>
        </w:rPr>
        <w:t>197</w:t>
      </w:r>
      <w:r w:rsidR="006200D9" w:rsidRPr="006200D9">
        <w:rPr>
          <w:sz w:val="24"/>
          <w:szCs w:val="24"/>
        </w:rPr>
        <w:t xml:space="preserve"> residents were treated at an emergency d</w:t>
      </w:r>
      <w:r w:rsidR="005F3713">
        <w:rPr>
          <w:sz w:val="24"/>
          <w:szCs w:val="24"/>
        </w:rPr>
        <w:t xml:space="preserve">epartment (ED) as a result of non-fatal </w:t>
      </w:r>
      <w:r w:rsidR="006200D9" w:rsidRPr="006200D9">
        <w:rPr>
          <w:sz w:val="24"/>
          <w:szCs w:val="24"/>
        </w:rPr>
        <w:t>drowning</w:t>
      </w:r>
      <w:r w:rsidR="005F3713">
        <w:rPr>
          <w:sz w:val="24"/>
          <w:szCs w:val="24"/>
        </w:rPr>
        <w:t>s</w:t>
      </w:r>
      <w:r w:rsidR="006200D9" w:rsidRPr="006200D9">
        <w:rPr>
          <w:sz w:val="24"/>
          <w:szCs w:val="24"/>
        </w:rPr>
        <w:t>.</w:t>
      </w:r>
    </w:p>
    <w:tbl>
      <w:tblPr>
        <w:tblStyle w:val="MediumShading2-Accent4"/>
        <w:tblW w:w="0" w:type="auto"/>
        <w:tblInd w:w="945" w:type="dxa"/>
        <w:tblLayout w:type="fixed"/>
        <w:tblLook w:val="04A0" w:firstRow="1" w:lastRow="0" w:firstColumn="1" w:lastColumn="0" w:noHBand="0" w:noVBand="1"/>
      </w:tblPr>
      <w:tblGrid>
        <w:gridCol w:w="1810"/>
        <w:gridCol w:w="1448"/>
        <w:gridCol w:w="1440"/>
        <w:gridCol w:w="1350"/>
        <w:gridCol w:w="1440"/>
      </w:tblGrid>
      <w:tr w:rsidR="009D7617" w14:paraId="4C25EBCD" w14:textId="77777777" w:rsidTr="00D569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0" w:type="dxa"/>
            <w:tcBorders>
              <w:left w:val="single" w:sz="18" w:space="0" w:color="auto"/>
            </w:tcBorders>
          </w:tcPr>
          <w:p w14:paraId="1F7A6B4B" w14:textId="77777777" w:rsidR="009D7617" w:rsidRDefault="0092201B" w:rsidP="0092201B">
            <w:pPr>
              <w:jc w:val="both"/>
              <w:rPr>
                <w:sz w:val="24"/>
                <w:szCs w:val="24"/>
              </w:rPr>
            </w:pPr>
            <w:r>
              <w:rPr>
                <w:sz w:val="24"/>
                <w:szCs w:val="24"/>
              </w:rPr>
              <w:t xml:space="preserve">  </w:t>
            </w:r>
            <w:r w:rsidR="009D7617">
              <w:rPr>
                <w:sz w:val="24"/>
                <w:szCs w:val="24"/>
              </w:rPr>
              <w:t>Injury Severity</w:t>
            </w:r>
          </w:p>
        </w:tc>
        <w:tc>
          <w:tcPr>
            <w:tcW w:w="1448" w:type="dxa"/>
          </w:tcPr>
          <w:p w14:paraId="3672E959" w14:textId="77777777" w:rsidR="009D7617" w:rsidRDefault="009D7617" w:rsidP="009D7617">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201</w:t>
            </w:r>
            <w:r w:rsidR="008B21E1">
              <w:rPr>
                <w:sz w:val="24"/>
                <w:szCs w:val="24"/>
              </w:rPr>
              <w:t>2</w:t>
            </w:r>
          </w:p>
        </w:tc>
        <w:tc>
          <w:tcPr>
            <w:tcW w:w="1440" w:type="dxa"/>
          </w:tcPr>
          <w:p w14:paraId="716ED1A6" w14:textId="77777777" w:rsidR="009D7617" w:rsidRDefault="009D7617" w:rsidP="009D7617">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201</w:t>
            </w:r>
            <w:r w:rsidR="008B21E1">
              <w:rPr>
                <w:sz w:val="24"/>
                <w:szCs w:val="24"/>
              </w:rPr>
              <w:t>3</w:t>
            </w:r>
          </w:p>
        </w:tc>
        <w:tc>
          <w:tcPr>
            <w:tcW w:w="1350" w:type="dxa"/>
          </w:tcPr>
          <w:p w14:paraId="436DB0BC" w14:textId="77777777" w:rsidR="009D7617" w:rsidRDefault="009D7617" w:rsidP="009D7617">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201</w:t>
            </w:r>
            <w:r w:rsidR="008B21E1">
              <w:rPr>
                <w:sz w:val="24"/>
                <w:szCs w:val="24"/>
              </w:rPr>
              <w:t>4</w:t>
            </w:r>
          </w:p>
        </w:tc>
        <w:tc>
          <w:tcPr>
            <w:tcW w:w="1440" w:type="dxa"/>
            <w:tcBorders>
              <w:right w:val="single" w:sz="18" w:space="0" w:color="auto"/>
            </w:tcBorders>
          </w:tcPr>
          <w:p w14:paraId="6221F7A2" w14:textId="77777777" w:rsidR="009D7617" w:rsidRDefault="009D7617" w:rsidP="009D7617">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Total</w:t>
            </w:r>
          </w:p>
        </w:tc>
      </w:tr>
      <w:tr w:rsidR="009D7617" w14:paraId="6B67ADD0" w14:textId="77777777" w:rsidTr="00D56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Borders>
              <w:left w:val="single" w:sz="18" w:space="0" w:color="auto"/>
            </w:tcBorders>
          </w:tcPr>
          <w:p w14:paraId="65D3EB2A" w14:textId="77777777" w:rsidR="009D7617" w:rsidRDefault="009D7617" w:rsidP="009D7617">
            <w:pPr>
              <w:jc w:val="right"/>
              <w:rPr>
                <w:sz w:val="24"/>
                <w:szCs w:val="24"/>
              </w:rPr>
            </w:pPr>
            <w:r>
              <w:rPr>
                <w:sz w:val="24"/>
                <w:szCs w:val="24"/>
              </w:rPr>
              <w:t>Deaths</w:t>
            </w:r>
          </w:p>
        </w:tc>
        <w:tc>
          <w:tcPr>
            <w:tcW w:w="1448" w:type="dxa"/>
            <w:tcBorders>
              <w:top w:val="single" w:sz="18" w:space="0" w:color="auto"/>
              <w:left w:val="nil"/>
              <w:bottom w:val="nil"/>
              <w:right w:val="nil"/>
            </w:tcBorders>
          </w:tcPr>
          <w:p w14:paraId="0DF1A658" w14:textId="77777777" w:rsidR="009D7617" w:rsidRDefault="008B21E1" w:rsidP="009D761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31</w:t>
            </w:r>
          </w:p>
        </w:tc>
        <w:tc>
          <w:tcPr>
            <w:tcW w:w="1440" w:type="dxa"/>
            <w:tcBorders>
              <w:top w:val="single" w:sz="18" w:space="0" w:color="auto"/>
              <w:left w:val="nil"/>
              <w:bottom w:val="nil"/>
              <w:right w:val="nil"/>
            </w:tcBorders>
          </w:tcPr>
          <w:p w14:paraId="0A8729A8" w14:textId="77777777" w:rsidR="009D7617" w:rsidRDefault="008B21E1" w:rsidP="009D761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45</w:t>
            </w:r>
          </w:p>
        </w:tc>
        <w:tc>
          <w:tcPr>
            <w:tcW w:w="1350" w:type="dxa"/>
            <w:tcBorders>
              <w:top w:val="single" w:sz="18" w:space="0" w:color="auto"/>
              <w:left w:val="nil"/>
              <w:bottom w:val="nil"/>
              <w:right w:val="nil"/>
            </w:tcBorders>
          </w:tcPr>
          <w:p w14:paraId="7E55C188" w14:textId="77777777" w:rsidR="009D7617" w:rsidRDefault="008B21E1" w:rsidP="009D761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43</w:t>
            </w:r>
          </w:p>
        </w:tc>
        <w:tc>
          <w:tcPr>
            <w:tcW w:w="1440" w:type="dxa"/>
            <w:tcBorders>
              <w:top w:val="single" w:sz="18" w:space="0" w:color="auto"/>
              <w:left w:val="nil"/>
              <w:bottom w:val="nil"/>
              <w:right w:val="single" w:sz="18" w:space="0" w:color="auto"/>
            </w:tcBorders>
          </w:tcPr>
          <w:p w14:paraId="3AEE84C1" w14:textId="77777777" w:rsidR="009D7617" w:rsidRDefault="008B21E1" w:rsidP="009D761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119</w:t>
            </w:r>
          </w:p>
        </w:tc>
      </w:tr>
      <w:tr w:rsidR="009D7617" w14:paraId="7539ABFB" w14:textId="77777777" w:rsidTr="00D569DA">
        <w:tc>
          <w:tcPr>
            <w:cnfStyle w:val="001000000000" w:firstRow="0" w:lastRow="0" w:firstColumn="1" w:lastColumn="0" w:oddVBand="0" w:evenVBand="0" w:oddHBand="0" w:evenHBand="0" w:firstRowFirstColumn="0" w:firstRowLastColumn="0" w:lastRowFirstColumn="0" w:lastRowLastColumn="0"/>
            <w:tcW w:w="1810" w:type="dxa"/>
            <w:tcBorders>
              <w:left w:val="single" w:sz="18" w:space="0" w:color="auto"/>
            </w:tcBorders>
          </w:tcPr>
          <w:p w14:paraId="0383EC44" w14:textId="77777777" w:rsidR="009D7617" w:rsidRDefault="009D7617" w:rsidP="009D7617">
            <w:pPr>
              <w:jc w:val="right"/>
              <w:rPr>
                <w:sz w:val="24"/>
                <w:szCs w:val="24"/>
              </w:rPr>
            </w:pPr>
            <w:r>
              <w:rPr>
                <w:sz w:val="24"/>
                <w:szCs w:val="24"/>
              </w:rPr>
              <w:t>Hospitalizations</w:t>
            </w:r>
          </w:p>
        </w:tc>
        <w:tc>
          <w:tcPr>
            <w:tcW w:w="1448" w:type="dxa"/>
            <w:tcBorders>
              <w:top w:val="nil"/>
              <w:left w:val="nil"/>
              <w:bottom w:val="nil"/>
              <w:right w:val="nil"/>
            </w:tcBorders>
          </w:tcPr>
          <w:p w14:paraId="770BAF29" w14:textId="77777777" w:rsidR="009D7617" w:rsidRDefault="008B21E1" w:rsidP="009D761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48</w:t>
            </w:r>
          </w:p>
        </w:tc>
        <w:tc>
          <w:tcPr>
            <w:tcW w:w="1440" w:type="dxa"/>
            <w:tcBorders>
              <w:top w:val="nil"/>
              <w:left w:val="nil"/>
              <w:bottom w:val="nil"/>
              <w:right w:val="nil"/>
            </w:tcBorders>
          </w:tcPr>
          <w:p w14:paraId="164BBC85" w14:textId="77777777" w:rsidR="009D7617" w:rsidRDefault="008B21E1" w:rsidP="009D761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37</w:t>
            </w:r>
          </w:p>
        </w:tc>
        <w:tc>
          <w:tcPr>
            <w:tcW w:w="1350" w:type="dxa"/>
            <w:tcBorders>
              <w:top w:val="nil"/>
              <w:left w:val="nil"/>
              <w:bottom w:val="nil"/>
              <w:right w:val="nil"/>
            </w:tcBorders>
          </w:tcPr>
          <w:p w14:paraId="728C0145" w14:textId="77777777" w:rsidR="009D7617" w:rsidRDefault="008B21E1" w:rsidP="009D761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48</w:t>
            </w:r>
          </w:p>
        </w:tc>
        <w:tc>
          <w:tcPr>
            <w:tcW w:w="1440" w:type="dxa"/>
            <w:tcBorders>
              <w:top w:val="nil"/>
              <w:left w:val="nil"/>
              <w:bottom w:val="nil"/>
              <w:right w:val="single" w:sz="18" w:space="0" w:color="auto"/>
            </w:tcBorders>
          </w:tcPr>
          <w:p w14:paraId="0019B4CC" w14:textId="77777777" w:rsidR="009D7617" w:rsidRDefault="00D569DA" w:rsidP="00DB483C">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r w:rsidR="008B21E1">
              <w:rPr>
                <w:sz w:val="24"/>
                <w:szCs w:val="24"/>
              </w:rPr>
              <w:t>33</w:t>
            </w:r>
          </w:p>
        </w:tc>
      </w:tr>
      <w:tr w:rsidR="009D7617" w14:paraId="415F48BB" w14:textId="77777777" w:rsidTr="00D56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Borders>
              <w:left w:val="single" w:sz="18" w:space="0" w:color="auto"/>
            </w:tcBorders>
          </w:tcPr>
          <w:p w14:paraId="4087AD07" w14:textId="77777777" w:rsidR="009D7617" w:rsidRDefault="009D7617" w:rsidP="009D7617">
            <w:pPr>
              <w:jc w:val="right"/>
              <w:rPr>
                <w:sz w:val="24"/>
                <w:szCs w:val="24"/>
              </w:rPr>
            </w:pPr>
            <w:r>
              <w:rPr>
                <w:sz w:val="24"/>
                <w:szCs w:val="24"/>
              </w:rPr>
              <w:t>ED Visits</w:t>
            </w:r>
          </w:p>
        </w:tc>
        <w:tc>
          <w:tcPr>
            <w:tcW w:w="1448" w:type="dxa"/>
            <w:tcBorders>
              <w:top w:val="nil"/>
              <w:left w:val="nil"/>
              <w:bottom w:val="nil"/>
              <w:right w:val="nil"/>
            </w:tcBorders>
          </w:tcPr>
          <w:p w14:paraId="3005BBF0" w14:textId="77777777" w:rsidR="009D7617" w:rsidRDefault="008B21E1" w:rsidP="009D761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75</w:t>
            </w:r>
          </w:p>
        </w:tc>
        <w:tc>
          <w:tcPr>
            <w:tcW w:w="1440" w:type="dxa"/>
            <w:tcBorders>
              <w:top w:val="nil"/>
              <w:left w:val="nil"/>
              <w:bottom w:val="nil"/>
              <w:right w:val="nil"/>
            </w:tcBorders>
          </w:tcPr>
          <w:p w14:paraId="6707AA38" w14:textId="77777777" w:rsidR="009D7617" w:rsidRDefault="008B21E1" w:rsidP="009D761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69</w:t>
            </w:r>
          </w:p>
        </w:tc>
        <w:tc>
          <w:tcPr>
            <w:tcW w:w="1350" w:type="dxa"/>
            <w:tcBorders>
              <w:top w:val="nil"/>
              <w:left w:val="nil"/>
              <w:bottom w:val="nil"/>
              <w:right w:val="nil"/>
            </w:tcBorders>
          </w:tcPr>
          <w:p w14:paraId="2C1A23DA" w14:textId="77777777" w:rsidR="009D7617" w:rsidRDefault="008B21E1" w:rsidP="009D761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53</w:t>
            </w:r>
          </w:p>
        </w:tc>
        <w:tc>
          <w:tcPr>
            <w:tcW w:w="1440" w:type="dxa"/>
            <w:tcBorders>
              <w:top w:val="nil"/>
              <w:left w:val="nil"/>
              <w:bottom w:val="nil"/>
              <w:right w:val="single" w:sz="18" w:space="0" w:color="auto"/>
            </w:tcBorders>
          </w:tcPr>
          <w:p w14:paraId="01DE1F31" w14:textId="77777777" w:rsidR="009D7617" w:rsidRDefault="00D569DA" w:rsidP="009D761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r w:rsidR="008B21E1">
              <w:rPr>
                <w:sz w:val="24"/>
                <w:szCs w:val="24"/>
              </w:rPr>
              <w:t>97</w:t>
            </w:r>
          </w:p>
        </w:tc>
      </w:tr>
      <w:tr w:rsidR="009D7617" w14:paraId="10630233" w14:textId="77777777" w:rsidTr="00D569DA">
        <w:tc>
          <w:tcPr>
            <w:cnfStyle w:val="001000000000" w:firstRow="0" w:lastRow="0" w:firstColumn="1" w:lastColumn="0" w:oddVBand="0" w:evenVBand="0" w:oddHBand="0" w:evenHBand="0" w:firstRowFirstColumn="0" w:firstRowLastColumn="0" w:lastRowFirstColumn="0" w:lastRowLastColumn="0"/>
            <w:tcW w:w="1810" w:type="dxa"/>
            <w:tcBorders>
              <w:left w:val="single" w:sz="18" w:space="0" w:color="auto"/>
            </w:tcBorders>
          </w:tcPr>
          <w:p w14:paraId="7F761509" w14:textId="77777777" w:rsidR="009D7617" w:rsidRDefault="009D7617" w:rsidP="009D7617">
            <w:pPr>
              <w:jc w:val="right"/>
              <w:rPr>
                <w:sz w:val="24"/>
                <w:szCs w:val="24"/>
              </w:rPr>
            </w:pPr>
            <w:r>
              <w:rPr>
                <w:sz w:val="24"/>
                <w:szCs w:val="24"/>
              </w:rPr>
              <w:t>Total</w:t>
            </w:r>
          </w:p>
        </w:tc>
        <w:tc>
          <w:tcPr>
            <w:tcW w:w="1448" w:type="dxa"/>
            <w:tcBorders>
              <w:top w:val="nil"/>
              <w:left w:val="nil"/>
              <w:bottom w:val="single" w:sz="18" w:space="0" w:color="auto"/>
              <w:right w:val="nil"/>
            </w:tcBorders>
          </w:tcPr>
          <w:p w14:paraId="7011E8B6" w14:textId="77777777" w:rsidR="009D7617" w:rsidRDefault="009D7617" w:rsidP="00DB483C">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r w:rsidR="008B21E1">
              <w:rPr>
                <w:sz w:val="24"/>
                <w:szCs w:val="24"/>
              </w:rPr>
              <w:t>54</w:t>
            </w:r>
          </w:p>
        </w:tc>
        <w:tc>
          <w:tcPr>
            <w:tcW w:w="1440" w:type="dxa"/>
            <w:tcBorders>
              <w:top w:val="nil"/>
              <w:left w:val="nil"/>
              <w:bottom w:val="single" w:sz="18" w:space="0" w:color="auto"/>
              <w:right w:val="nil"/>
            </w:tcBorders>
          </w:tcPr>
          <w:p w14:paraId="7A19846D" w14:textId="77777777" w:rsidR="009D7617" w:rsidRDefault="008B21E1" w:rsidP="009D761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151</w:t>
            </w:r>
          </w:p>
        </w:tc>
        <w:tc>
          <w:tcPr>
            <w:tcW w:w="1350" w:type="dxa"/>
            <w:tcBorders>
              <w:top w:val="nil"/>
              <w:left w:val="nil"/>
              <w:bottom w:val="single" w:sz="18" w:space="0" w:color="auto"/>
              <w:right w:val="nil"/>
            </w:tcBorders>
          </w:tcPr>
          <w:p w14:paraId="3FFA429B" w14:textId="77777777" w:rsidR="009D7617" w:rsidRDefault="008B21E1" w:rsidP="009D761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144</w:t>
            </w:r>
          </w:p>
        </w:tc>
        <w:tc>
          <w:tcPr>
            <w:tcW w:w="1440" w:type="dxa"/>
            <w:tcBorders>
              <w:top w:val="nil"/>
              <w:left w:val="nil"/>
              <w:bottom w:val="single" w:sz="18" w:space="0" w:color="auto"/>
              <w:right w:val="single" w:sz="18" w:space="0" w:color="auto"/>
            </w:tcBorders>
          </w:tcPr>
          <w:p w14:paraId="7EDA1BA2" w14:textId="3896B062" w:rsidR="009D7617" w:rsidRDefault="00D569DA" w:rsidP="0000498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r w:rsidR="00004983">
              <w:rPr>
                <w:sz w:val="24"/>
                <w:szCs w:val="24"/>
              </w:rPr>
              <w:t>49</w:t>
            </w:r>
          </w:p>
        </w:tc>
      </w:tr>
    </w:tbl>
    <w:p w14:paraId="41582B2E" w14:textId="77777777" w:rsidR="009D7617" w:rsidRDefault="009D7617" w:rsidP="009D7617">
      <w:pPr>
        <w:rPr>
          <w:sz w:val="24"/>
          <w:szCs w:val="24"/>
        </w:rPr>
      </w:pPr>
    </w:p>
    <w:p w14:paraId="6E7D5694" w14:textId="06049745" w:rsidR="00A222CD" w:rsidRDefault="00A222CD" w:rsidP="000F5E4B">
      <w:pPr>
        <w:pStyle w:val="ListParagraph"/>
        <w:numPr>
          <w:ilvl w:val="0"/>
          <w:numId w:val="2"/>
        </w:numPr>
        <w:spacing w:after="0"/>
        <w:rPr>
          <w:sz w:val="24"/>
          <w:szCs w:val="24"/>
        </w:rPr>
      </w:pPr>
      <w:r>
        <w:rPr>
          <w:sz w:val="24"/>
          <w:szCs w:val="24"/>
        </w:rPr>
        <w:t xml:space="preserve">The most common site for fatal </w:t>
      </w:r>
      <w:r w:rsidR="00556F3D">
        <w:rPr>
          <w:sz w:val="24"/>
          <w:szCs w:val="24"/>
        </w:rPr>
        <w:t xml:space="preserve">and nonfatal </w:t>
      </w:r>
      <w:r>
        <w:rPr>
          <w:sz w:val="24"/>
          <w:szCs w:val="24"/>
        </w:rPr>
        <w:t xml:space="preserve">drowning incidents was </w:t>
      </w:r>
      <w:r w:rsidR="00556F3D">
        <w:rPr>
          <w:sz w:val="24"/>
          <w:szCs w:val="24"/>
        </w:rPr>
        <w:t>in a swimming pool. The most common location o</w:t>
      </w:r>
      <w:r w:rsidR="00221348">
        <w:rPr>
          <w:sz w:val="24"/>
          <w:szCs w:val="24"/>
        </w:rPr>
        <w:t>f drownings among persons aged</w:t>
      </w:r>
      <w:r w:rsidR="00556F3D">
        <w:rPr>
          <w:sz w:val="24"/>
          <w:szCs w:val="24"/>
        </w:rPr>
        <w:t xml:space="preserve"> 5 </w:t>
      </w:r>
      <w:r w:rsidR="00221348">
        <w:rPr>
          <w:sz w:val="24"/>
          <w:szCs w:val="24"/>
        </w:rPr>
        <w:t xml:space="preserve">or more </w:t>
      </w:r>
      <w:r w:rsidR="00556F3D">
        <w:rPr>
          <w:sz w:val="24"/>
          <w:szCs w:val="24"/>
        </w:rPr>
        <w:t>years was in natural water.</w:t>
      </w:r>
    </w:p>
    <w:p w14:paraId="596F67EC" w14:textId="77777777" w:rsidR="00045DC4" w:rsidRDefault="00045DC4" w:rsidP="00045DC4">
      <w:pPr>
        <w:rPr>
          <w:sz w:val="24"/>
          <w:szCs w:val="24"/>
        </w:rPr>
      </w:pPr>
    </w:p>
    <w:tbl>
      <w:tblPr>
        <w:tblStyle w:val="MediumShading2-Accent4"/>
        <w:tblW w:w="0" w:type="auto"/>
        <w:tblLook w:val="04A0" w:firstRow="1" w:lastRow="0" w:firstColumn="1" w:lastColumn="0" w:noHBand="0" w:noVBand="1"/>
      </w:tblPr>
      <w:tblGrid>
        <w:gridCol w:w="3528"/>
        <w:gridCol w:w="1890"/>
        <w:gridCol w:w="1764"/>
        <w:gridCol w:w="2106"/>
      </w:tblGrid>
      <w:tr w:rsidR="00045DC4" w14:paraId="186EA3F8" w14:textId="77777777" w:rsidTr="008566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28" w:type="dxa"/>
          </w:tcPr>
          <w:p w14:paraId="21F2A1D4" w14:textId="77777777" w:rsidR="00045DC4" w:rsidRDefault="00045DC4" w:rsidP="00045DC4">
            <w:pPr>
              <w:rPr>
                <w:sz w:val="24"/>
                <w:szCs w:val="24"/>
              </w:rPr>
            </w:pPr>
            <w:r>
              <w:rPr>
                <w:sz w:val="24"/>
                <w:szCs w:val="24"/>
              </w:rPr>
              <w:t>Submersion Type</w:t>
            </w:r>
          </w:p>
        </w:tc>
        <w:tc>
          <w:tcPr>
            <w:tcW w:w="1890" w:type="dxa"/>
          </w:tcPr>
          <w:p w14:paraId="7436F45D" w14:textId="77777777" w:rsidR="00045DC4" w:rsidRDefault="00045DC4" w:rsidP="00045DC4">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Fatal</w:t>
            </w:r>
          </w:p>
        </w:tc>
        <w:tc>
          <w:tcPr>
            <w:tcW w:w="1764" w:type="dxa"/>
          </w:tcPr>
          <w:p w14:paraId="7B499662" w14:textId="77777777" w:rsidR="00045DC4" w:rsidRDefault="00045DC4" w:rsidP="00045DC4">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Nonfatal</w:t>
            </w:r>
          </w:p>
        </w:tc>
        <w:tc>
          <w:tcPr>
            <w:tcW w:w="2106" w:type="dxa"/>
          </w:tcPr>
          <w:p w14:paraId="511B1E85" w14:textId="77777777" w:rsidR="00045DC4" w:rsidRDefault="00045DC4" w:rsidP="00045DC4">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Overall Percent</w:t>
            </w:r>
          </w:p>
        </w:tc>
      </w:tr>
      <w:tr w:rsidR="00045DC4" w14:paraId="549504D5" w14:textId="77777777" w:rsidTr="00856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679517CA" w14:textId="77777777" w:rsidR="00045DC4" w:rsidRDefault="00045DC4" w:rsidP="00045DC4">
            <w:pPr>
              <w:rPr>
                <w:sz w:val="24"/>
                <w:szCs w:val="24"/>
              </w:rPr>
            </w:pPr>
            <w:r>
              <w:rPr>
                <w:sz w:val="24"/>
                <w:szCs w:val="24"/>
              </w:rPr>
              <w:t>Swimming Pool</w:t>
            </w:r>
          </w:p>
        </w:tc>
        <w:tc>
          <w:tcPr>
            <w:tcW w:w="1890" w:type="dxa"/>
          </w:tcPr>
          <w:p w14:paraId="5DBE9126" w14:textId="2359DF72" w:rsidR="00045DC4" w:rsidRDefault="00556F3D" w:rsidP="00045DC4">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r w:rsidR="00221348">
              <w:rPr>
                <w:sz w:val="24"/>
                <w:szCs w:val="24"/>
              </w:rPr>
              <w:t>5</w:t>
            </w:r>
          </w:p>
        </w:tc>
        <w:tc>
          <w:tcPr>
            <w:tcW w:w="1764" w:type="dxa"/>
          </w:tcPr>
          <w:p w14:paraId="72D346CD" w14:textId="69BC9E57" w:rsidR="00045DC4" w:rsidRDefault="00872F8A" w:rsidP="00045DC4">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r w:rsidR="00221348">
              <w:rPr>
                <w:sz w:val="24"/>
                <w:szCs w:val="24"/>
              </w:rPr>
              <w:t>81</w:t>
            </w:r>
          </w:p>
        </w:tc>
        <w:tc>
          <w:tcPr>
            <w:tcW w:w="2106" w:type="dxa"/>
          </w:tcPr>
          <w:p w14:paraId="2E502B2C" w14:textId="7D3960B6" w:rsidR="00045DC4" w:rsidRDefault="00891D3F" w:rsidP="00045DC4">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48%</w:t>
            </w:r>
          </w:p>
        </w:tc>
      </w:tr>
      <w:tr w:rsidR="00045DC4" w14:paraId="547E1534" w14:textId="77777777" w:rsidTr="00856611">
        <w:tc>
          <w:tcPr>
            <w:cnfStyle w:val="001000000000" w:firstRow="0" w:lastRow="0" w:firstColumn="1" w:lastColumn="0" w:oddVBand="0" w:evenVBand="0" w:oddHBand="0" w:evenHBand="0" w:firstRowFirstColumn="0" w:firstRowLastColumn="0" w:lastRowFirstColumn="0" w:lastRowLastColumn="0"/>
            <w:tcW w:w="3528" w:type="dxa"/>
          </w:tcPr>
          <w:p w14:paraId="73E75503" w14:textId="77777777" w:rsidR="00045DC4" w:rsidRDefault="00045DC4" w:rsidP="00045DC4">
            <w:pPr>
              <w:rPr>
                <w:sz w:val="24"/>
                <w:szCs w:val="24"/>
              </w:rPr>
            </w:pPr>
            <w:r>
              <w:rPr>
                <w:sz w:val="24"/>
                <w:szCs w:val="24"/>
              </w:rPr>
              <w:t>Natural Water</w:t>
            </w:r>
          </w:p>
        </w:tc>
        <w:tc>
          <w:tcPr>
            <w:tcW w:w="1890" w:type="dxa"/>
          </w:tcPr>
          <w:p w14:paraId="0CB55B0A" w14:textId="717C870F" w:rsidR="00045DC4" w:rsidRDefault="00FC5029" w:rsidP="00045DC4">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45</w:t>
            </w:r>
          </w:p>
        </w:tc>
        <w:tc>
          <w:tcPr>
            <w:tcW w:w="1764" w:type="dxa"/>
          </w:tcPr>
          <w:p w14:paraId="2472475B" w14:textId="77777777" w:rsidR="00045DC4" w:rsidRDefault="00045DC4" w:rsidP="00045DC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106" w:type="dxa"/>
          </w:tcPr>
          <w:p w14:paraId="4F2834CA" w14:textId="1D40165D" w:rsidR="00045DC4" w:rsidRDefault="00891D3F" w:rsidP="00045DC4">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w:t>
            </w:r>
          </w:p>
        </w:tc>
      </w:tr>
      <w:tr w:rsidR="00045DC4" w14:paraId="29FF8652" w14:textId="77777777" w:rsidTr="00856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04005458" w14:textId="77777777" w:rsidR="00045DC4" w:rsidRDefault="00045DC4" w:rsidP="00045DC4">
            <w:pPr>
              <w:rPr>
                <w:sz w:val="24"/>
                <w:szCs w:val="24"/>
              </w:rPr>
            </w:pPr>
            <w:r>
              <w:rPr>
                <w:sz w:val="24"/>
                <w:szCs w:val="24"/>
              </w:rPr>
              <w:t>Other Specified (Lake/Canal)</w:t>
            </w:r>
          </w:p>
        </w:tc>
        <w:tc>
          <w:tcPr>
            <w:tcW w:w="1890" w:type="dxa"/>
          </w:tcPr>
          <w:p w14:paraId="1BB06F64" w14:textId="242563AB" w:rsidR="00045DC4" w:rsidRDefault="00FC5029" w:rsidP="00045DC4">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w:t>
            </w:r>
          </w:p>
        </w:tc>
        <w:tc>
          <w:tcPr>
            <w:tcW w:w="1764" w:type="dxa"/>
          </w:tcPr>
          <w:p w14:paraId="5AAE0460" w14:textId="77777777" w:rsidR="00045DC4" w:rsidRDefault="00045DC4" w:rsidP="00045DC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106" w:type="dxa"/>
          </w:tcPr>
          <w:p w14:paraId="60EAC7CA" w14:textId="3EA6A528" w:rsidR="00045DC4" w:rsidRDefault="00891D3F" w:rsidP="00045DC4">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r>
      <w:tr w:rsidR="00045DC4" w14:paraId="0A5D29B1" w14:textId="77777777" w:rsidTr="00856611">
        <w:tc>
          <w:tcPr>
            <w:cnfStyle w:val="001000000000" w:firstRow="0" w:lastRow="0" w:firstColumn="1" w:lastColumn="0" w:oddVBand="0" w:evenVBand="0" w:oddHBand="0" w:evenHBand="0" w:firstRowFirstColumn="0" w:firstRowLastColumn="0" w:lastRowFirstColumn="0" w:lastRowLastColumn="0"/>
            <w:tcW w:w="3528" w:type="dxa"/>
          </w:tcPr>
          <w:p w14:paraId="4AD0CDE2" w14:textId="77777777" w:rsidR="00045DC4" w:rsidRDefault="00045DC4" w:rsidP="00045DC4">
            <w:pPr>
              <w:rPr>
                <w:sz w:val="24"/>
                <w:szCs w:val="24"/>
              </w:rPr>
            </w:pPr>
            <w:r>
              <w:rPr>
                <w:sz w:val="24"/>
                <w:szCs w:val="24"/>
              </w:rPr>
              <w:t>Recreational Swimming</w:t>
            </w:r>
          </w:p>
        </w:tc>
        <w:tc>
          <w:tcPr>
            <w:tcW w:w="1890" w:type="dxa"/>
          </w:tcPr>
          <w:p w14:paraId="477725A0" w14:textId="77777777" w:rsidR="00045DC4" w:rsidRDefault="00045DC4" w:rsidP="00045DC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64" w:type="dxa"/>
          </w:tcPr>
          <w:p w14:paraId="40EB52C0" w14:textId="751A8843" w:rsidR="00045DC4" w:rsidRDefault="00FC5029" w:rsidP="00045DC4">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38</w:t>
            </w:r>
          </w:p>
        </w:tc>
        <w:tc>
          <w:tcPr>
            <w:tcW w:w="2106" w:type="dxa"/>
          </w:tcPr>
          <w:p w14:paraId="1ED2719C" w14:textId="1A1AD24A" w:rsidR="00045DC4" w:rsidRDefault="00891D3F" w:rsidP="00045DC4">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w:t>
            </w:r>
          </w:p>
        </w:tc>
      </w:tr>
      <w:tr w:rsidR="00045DC4" w14:paraId="45495885" w14:textId="77777777" w:rsidTr="00856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331531BC" w14:textId="77777777" w:rsidR="00045DC4" w:rsidRDefault="00045DC4" w:rsidP="00045DC4">
            <w:pPr>
              <w:rPr>
                <w:sz w:val="24"/>
                <w:szCs w:val="24"/>
              </w:rPr>
            </w:pPr>
            <w:r>
              <w:rPr>
                <w:sz w:val="24"/>
                <w:szCs w:val="24"/>
              </w:rPr>
              <w:t>Sport/Scuba Diving/Water Skiing</w:t>
            </w:r>
          </w:p>
        </w:tc>
        <w:tc>
          <w:tcPr>
            <w:tcW w:w="1890" w:type="dxa"/>
          </w:tcPr>
          <w:p w14:paraId="4F21C93F" w14:textId="77777777" w:rsidR="00045DC4" w:rsidRDefault="00045DC4" w:rsidP="00045DC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64" w:type="dxa"/>
          </w:tcPr>
          <w:p w14:paraId="5E324875" w14:textId="15558D89" w:rsidR="00045DC4" w:rsidRDefault="00FC5029" w:rsidP="00045DC4">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w:t>
            </w:r>
          </w:p>
        </w:tc>
        <w:tc>
          <w:tcPr>
            <w:tcW w:w="2106" w:type="dxa"/>
          </w:tcPr>
          <w:p w14:paraId="4A1290C9" w14:textId="120223CC" w:rsidR="00045DC4" w:rsidRDefault="00891D3F" w:rsidP="00045DC4">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11%</w:t>
            </w:r>
          </w:p>
        </w:tc>
      </w:tr>
      <w:tr w:rsidR="00045DC4" w14:paraId="50BA9820" w14:textId="77777777" w:rsidTr="00856611">
        <w:tc>
          <w:tcPr>
            <w:cnfStyle w:val="001000000000" w:firstRow="0" w:lastRow="0" w:firstColumn="1" w:lastColumn="0" w:oddVBand="0" w:evenVBand="0" w:oddHBand="0" w:evenHBand="0" w:firstRowFirstColumn="0" w:firstRowLastColumn="0" w:lastRowFirstColumn="0" w:lastRowLastColumn="0"/>
            <w:tcW w:w="3528" w:type="dxa"/>
          </w:tcPr>
          <w:p w14:paraId="29D5B691" w14:textId="77777777" w:rsidR="00045DC4" w:rsidRDefault="00045DC4" w:rsidP="00045DC4">
            <w:pPr>
              <w:rPr>
                <w:sz w:val="24"/>
                <w:szCs w:val="24"/>
              </w:rPr>
            </w:pPr>
            <w:r>
              <w:rPr>
                <w:sz w:val="24"/>
                <w:szCs w:val="24"/>
              </w:rPr>
              <w:t>Bathtub</w:t>
            </w:r>
          </w:p>
        </w:tc>
        <w:tc>
          <w:tcPr>
            <w:tcW w:w="1890" w:type="dxa"/>
          </w:tcPr>
          <w:p w14:paraId="06C9A0C3" w14:textId="03AAE08A" w:rsidR="00045DC4" w:rsidRDefault="00FC5029" w:rsidP="00045DC4">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w:t>
            </w:r>
          </w:p>
        </w:tc>
        <w:tc>
          <w:tcPr>
            <w:tcW w:w="1764" w:type="dxa"/>
          </w:tcPr>
          <w:p w14:paraId="00290248" w14:textId="121D7BE4" w:rsidR="00045DC4" w:rsidRDefault="00FC5029" w:rsidP="00045DC4">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w:t>
            </w:r>
          </w:p>
        </w:tc>
        <w:tc>
          <w:tcPr>
            <w:tcW w:w="2106" w:type="dxa"/>
          </w:tcPr>
          <w:p w14:paraId="4049226D" w14:textId="77240473" w:rsidR="00045DC4" w:rsidRDefault="00891D3F" w:rsidP="00045DC4">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r>
      <w:tr w:rsidR="00045DC4" w14:paraId="58083233" w14:textId="77777777" w:rsidTr="00856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216AD466" w14:textId="77777777" w:rsidR="00045DC4" w:rsidRDefault="00045DC4" w:rsidP="00045DC4">
            <w:pPr>
              <w:rPr>
                <w:sz w:val="24"/>
                <w:szCs w:val="24"/>
              </w:rPr>
            </w:pPr>
            <w:r>
              <w:rPr>
                <w:sz w:val="24"/>
                <w:szCs w:val="24"/>
              </w:rPr>
              <w:t>Other/Unspecified</w:t>
            </w:r>
          </w:p>
        </w:tc>
        <w:tc>
          <w:tcPr>
            <w:tcW w:w="1890" w:type="dxa"/>
          </w:tcPr>
          <w:p w14:paraId="1A631F8E" w14:textId="04C535B0" w:rsidR="00045DC4" w:rsidRDefault="00FC5029" w:rsidP="00045DC4">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w:t>
            </w:r>
          </w:p>
        </w:tc>
        <w:tc>
          <w:tcPr>
            <w:tcW w:w="1764" w:type="dxa"/>
          </w:tcPr>
          <w:p w14:paraId="67BE3D89" w14:textId="1CA94B0D" w:rsidR="00045DC4" w:rsidRDefault="00FC5029" w:rsidP="00045DC4">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52</w:t>
            </w:r>
          </w:p>
        </w:tc>
        <w:tc>
          <w:tcPr>
            <w:tcW w:w="2106" w:type="dxa"/>
          </w:tcPr>
          <w:p w14:paraId="084B9E65" w14:textId="3BCBAA96" w:rsidR="00045DC4" w:rsidRDefault="00891D3F" w:rsidP="00045DC4">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w:t>
            </w:r>
          </w:p>
        </w:tc>
      </w:tr>
      <w:tr w:rsidR="00045DC4" w14:paraId="1C475A21" w14:textId="77777777" w:rsidTr="00856611">
        <w:tc>
          <w:tcPr>
            <w:cnfStyle w:val="001000000000" w:firstRow="0" w:lastRow="0" w:firstColumn="1" w:lastColumn="0" w:oddVBand="0" w:evenVBand="0" w:oddHBand="0" w:evenHBand="0" w:firstRowFirstColumn="0" w:firstRowLastColumn="0" w:lastRowFirstColumn="0" w:lastRowLastColumn="0"/>
            <w:tcW w:w="3528" w:type="dxa"/>
          </w:tcPr>
          <w:p w14:paraId="4D7AC07E" w14:textId="77777777" w:rsidR="00045DC4" w:rsidRDefault="00045DC4" w:rsidP="00045DC4">
            <w:pPr>
              <w:rPr>
                <w:sz w:val="24"/>
                <w:szCs w:val="24"/>
              </w:rPr>
            </w:pPr>
            <w:r>
              <w:rPr>
                <w:sz w:val="24"/>
                <w:szCs w:val="24"/>
              </w:rPr>
              <w:t>Total</w:t>
            </w:r>
          </w:p>
        </w:tc>
        <w:tc>
          <w:tcPr>
            <w:tcW w:w="1890" w:type="dxa"/>
          </w:tcPr>
          <w:p w14:paraId="7937862D" w14:textId="303A47D5" w:rsidR="00045DC4" w:rsidRDefault="00891D3F" w:rsidP="00045DC4">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119</w:t>
            </w:r>
          </w:p>
        </w:tc>
        <w:tc>
          <w:tcPr>
            <w:tcW w:w="1764" w:type="dxa"/>
          </w:tcPr>
          <w:p w14:paraId="62235578" w14:textId="46E2934A" w:rsidR="00045DC4" w:rsidRDefault="00891D3F" w:rsidP="00045DC4">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330</w:t>
            </w:r>
          </w:p>
        </w:tc>
        <w:tc>
          <w:tcPr>
            <w:tcW w:w="2106" w:type="dxa"/>
          </w:tcPr>
          <w:p w14:paraId="0092D6CE" w14:textId="4FA23A7B" w:rsidR="00045DC4" w:rsidRDefault="00891D3F" w:rsidP="00045DC4">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100%</w:t>
            </w:r>
          </w:p>
        </w:tc>
      </w:tr>
    </w:tbl>
    <w:p w14:paraId="13A93BA0" w14:textId="77777777" w:rsidR="00891D3F" w:rsidRDefault="00891D3F" w:rsidP="00891D3F">
      <w:pPr>
        <w:rPr>
          <w:sz w:val="24"/>
          <w:szCs w:val="24"/>
        </w:rPr>
      </w:pPr>
    </w:p>
    <w:p w14:paraId="19D5E6DE" w14:textId="7AA0E848" w:rsidR="005A726B" w:rsidRPr="00891D3F" w:rsidRDefault="00891D3F" w:rsidP="00891D3F">
      <w:pPr>
        <w:rPr>
          <w:sz w:val="24"/>
          <w:szCs w:val="24"/>
        </w:rPr>
      </w:pPr>
      <w:r w:rsidRPr="00891D3F">
        <w:rPr>
          <w:sz w:val="24"/>
          <w:szCs w:val="24"/>
        </w:rPr>
        <w:t>During 2014</w:t>
      </w:r>
      <w:r w:rsidR="005A726B" w:rsidRPr="00891D3F">
        <w:rPr>
          <w:sz w:val="24"/>
          <w:szCs w:val="24"/>
        </w:rPr>
        <w:t xml:space="preserve">, nonfatal drowning incidents were estimated to cost </w:t>
      </w:r>
      <w:r w:rsidR="007A47E0" w:rsidRPr="00891D3F">
        <w:rPr>
          <w:sz w:val="24"/>
          <w:szCs w:val="24"/>
        </w:rPr>
        <w:t>near</w:t>
      </w:r>
      <w:r w:rsidR="00653E6C">
        <w:rPr>
          <w:sz w:val="24"/>
          <w:szCs w:val="24"/>
        </w:rPr>
        <w:t>ly $2</w:t>
      </w:r>
      <w:r w:rsidR="005A726B" w:rsidRPr="00891D3F">
        <w:rPr>
          <w:sz w:val="24"/>
          <w:szCs w:val="24"/>
        </w:rPr>
        <w:t xml:space="preserve"> million in hospit</w:t>
      </w:r>
      <w:r>
        <w:rPr>
          <w:sz w:val="24"/>
          <w:szCs w:val="24"/>
        </w:rPr>
        <w:t>alization and ED visit charges:</w:t>
      </w:r>
    </w:p>
    <w:p w14:paraId="3E0693E9" w14:textId="77777777" w:rsidR="00121680" w:rsidRDefault="00121680" w:rsidP="00121680">
      <w:pPr>
        <w:rPr>
          <w:sz w:val="24"/>
          <w:szCs w:val="24"/>
        </w:rPr>
      </w:pPr>
    </w:p>
    <w:p w14:paraId="1D653381" w14:textId="77777777" w:rsidR="00121680" w:rsidRDefault="00121680" w:rsidP="00121680">
      <w:pPr>
        <w:rPr>
          <w:sz w:val="24"/>
          <w:szCs w:val="24"/>
        </w:rPr>
      </w:pPr>
    </w:p>
    <w:tbl>
      <w:tblPr>
        <w:tblStyle w:val="MediumShading2-Accent4"/>
        <w:tblW w:w="0" w:type="auto"/>
        <w:tblLook w:val="04A0" w:firstRow="1" w:lastRow="0" w:firstColumn="1" w:lastColumn="0" w:noHBand="0" w:noVBand="1"/>
      </w:tblPr>
      <w:tblGrid>
        <w:gridCol w:w="2610"/>
        <w:gridCol w:w="2083"/>
        <w:gridCol w:w="2341"/>
        <w:gridCol w:w="2326"/>
      </w:tblGrid>
      <w:tr w:rsidR="00121680" w14:paraId="7B397AB7" w14:textId="77777777" w:rsidTr="00BA41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4"/>
          </w:tcPr>
          <w:p w14:paraId="4E7597E1" w14:textId="14C434C6" w:rsidR="00121680" w:rsidRDefault="00653E6C" w:rsidP="00121680">
            <w:pPr>
              <w:jc w:val="center"/>
              <w:rPr>
                <w:sz w:val="24"/>
                <w:szCs w:val="24"/>
              </w:rPr>
            </w:pPr>
            <w:r>
              <w:rPr>
                <w:sz w:val="24"/>
                <w:szCs w:val="24"/>
              </w:rPr>
              <w:lastRenderedPageBreak/>
              <w:t>2014</w:t>
            </w:r>
            <w:r w:rsidR="00121680">
              <w:rPr>
                <w:sz w:val="24"/>
                <w:szCs w:val="24"/>
              </w:rPr>
              <w:t xml:space="preserve"> Hospital &amp; ED Charges for Nonfatal Drowning Incidents to</w:t>
            </w:r>
          </w:p>
          <w:p w14:paraId="10507F8A" w14:textId="77777777" w:rsidR="00121680" w:rsidRDefault="00121680" w:rsidP="00121680">
            <w:pPr>
              <w:jc w:val="center"/>
              <w:rPr>
                <w:sz w:val="24"/>
                <w:szCs w:val="24"/>
              </w:rPr>
            </w:pPr>
            <w:r>
              <w:rPr>
                <w:sz w:val="24"/>
                <w:szCs w:val="24"/>
              </w:rPr>
              <w:t>Miami-Dade County Residents</w:t>
            </w:r>
          </w:p>
        </w:tc>
      </w:tr>
      <w:tr w:rsidR="00121680" w14:paraId="1EE46A2F" w14:textId="77777777" w:rsidTr="00BA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725B76A" w14:textId="77777777" w:rsidR="00121680" w:rsidRDefault="00121680" w:rsidP="00121680">
            <w:pPr>
              <w:rPr>
                <w:sz w:val="24"/>
                <w:szCs w:val="24"/>
              </w:rPr>
            </w:pPr>
          </w:p>
        </w:tc>
        <w:tc>
          <w:tcPr>
            <w:tcW w:w="2083" w:type="dxa"/>
          </w:tcPr>
          <w:p w14:paraId="2CFA3DF1" w14:textId="77777777" w:rsidR="00121680" w:rsidRPr="007A47E0" w:rsidRDefault="00121680" w:rsidP="007A47E0">
            <w:pPr>
              <w:jc w:val="center"/>
              <w:cnfStyle w:val="000000100000" w:firstRow="0" w:lastRow="0" w:firstColumn="0" w:lastColumn="0" w:oddVBand="0" w:evenVBand="0" w:oddHBand="1" w:evenHBand="0" w:firstRowFirstColumn="0" w:firstRowLastColumn="0" w:lastRowFirstColumn="0" w:lastRowLastColumn="0"/>
              <w:rPr>
                <w:b/>
                <w:sz w:val="24"/>
                <w:szCs w:val="24"/>
                <w:u w:val="single"/>
              </w:rPr>
            </w:pPr>
            <w:r w:rsidRPr="007A47E0">
              <w:rPr>
                <w:b/>
                <w:sz w:val="24"/>
                <w:szCs w:val="24"/>
                <w:u w:val="single"/>
              </w:rPr>
              <w:t>Number</w:t>
            </w:r>
          </w:p>
        </w:tc>
        <w:tc>
          <w:tcPr>
            <w:tcW w:w="2341" w:type="dxa"/>
          </w:tcPr>
          <w:p w14:paraId="172717A0" w14:textId="77777777" w:rsidR="00121680" w:rsidRPr="007A47E0" w:rsidRDefault="00121680" w:rsidP="007A47E0">
            <w:pPr>
              <w:jc w:val="center"/>
              <w:cnfStyle w:val="000000100000" w:firstRow="0" w:lastRow="0" w:firstColumn="0" w:lastColumn="0" w:oddVBand="0" w:evenVBand="0" w:oddHBand="1" w:evenHBand="0" w:firstRowFirstColumn="0" w:firstRowLastColumn="0" w:lastRowFirstColumn="0" w:lastRowLastColumn="0"/>
              <w:rPr>
                <w:b/>
                <w:sz w:val="24"/>
                <w:szCs w:val="24"/>
                <w:u w:val="single"/>
              </w:rPr>
            </w:pPr>
            <w:r w:rsidRPr="007A47E0">
              <w:rPr>
                <w:b/>
                <w:sz w:val="24"/>
                <w:szCs w:val="24"/>
                <w:u w:val="single"/>
              </w:rPr>
              <w:t>Total Charges</w:t>
            </w:r>
          </w:p>
        </w:tc>
        <w:tc>
          <w:tcPr>
            <w:tcW w:w="2326" w:type="dxa"/>
          </w:tcPr>
          <w:p w14:paraId="51C21D21" w14:textId="77777777" w:rsidR="00121680" w:rsidRPr="007A47E0" w:rsidRDefault="00121680" w:rsidP="007A47E0">
            <w:pPr>
              <w:jc w:val="center"/>
              <w:cnfStyle w:val="000000100000" w:firstRow="0" w:lastRow="0" w:firstColumn="0" w:lastColumn="0" w:oddVBand="0" w:evenVBand="0" w:oddHBand="1" w:evenHBand="0" w:firstRowFirstColumn="0" w:firstRowLastColumn="0" w:lastRowFirstColumn="0" w:lastRowLastColumn="0"/>
              <w:rPr>
                <w:b/>
                <w:sz w:val="24"/>
                <w:szCs w:val="24"/>
                <w:u w:val="single"/>
              </w:rPr>
            </w:pPr>
            <w:r w:rsidRPr="007A47E0">
              <w:rPr>
                <w:b/>
                <w:sz w:val="24"/>
                <w:szCs w:val="24"/>
                <w:u w:val="single"/>
              </w:rPr>
              <w:t>Median Charge</w:t>
            </w:r>
          </w:p>
        </w:tc>
      </w:tr>
      <w:tr w:rsidR="00121680" w14:paraId="3AFAA99B" w14:textId="77777777" w:rsidTr="00BA4129">
        <w:tc>
          <w:tcPr>
            <w:cnfStyle w:val="001000000000" w:firstRow="0" w:lastRow="0" w:firstColumn="1" w:lastColumn="0" w:oddVBand="0" w:evenVBand="0" w:oddHBand="0" w:evenHBand="0" w:firstRowFirstColumn="0" w:firstRowLastColumn="0" w:lastRowFirstColumn="0" w:lastRowLastColumn="0"/>
            <w:tcW w:w="2610" w:type="dxa"/>
          </w:tcPr>
          <w:p w14:paraId="3BCA55D5" w14:textId="77777777" w:rsidR="00121680" w:rsidRDefault="00121680" w:rsidP="00121680">
            <w:pPr>
              <w:rPr>
                <w:sz w:val="24"/>
                <w:szCs w:val="24"/>
              </w:rPr>
            </w:pPr>
            <w:r>
              <w:rPr>
                <w:sz w:val="24"/>
                <w:szCs w:val="24"/>
              </w:rPr>
              <w:t>Hospitalizations</w:t>
            </w:r>
          </w:p>
        </w:tc>
        <w:tc>
          <w:tcPr>
            <w:tcW w:w="2083" w:type="dxa"/>
          </w:tcPr>
          <w:p w14:paraId="5C4B8E2A" w14:textId="44F1EA83" w:rsidR="00121680" w:rsidRPr="007A47E0" w:rsidRDefault="00891D3F" w:rsidP="007A47E0">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48</w:t>
            </w:r>
          </w:p>
        </w:tc>
        <w:tc>
          <w:tcPr>
            <w:tcW w:w="2341" w:type="dxa"/>
          </w:tcPr>
          <w:p w14:paraId="5999CD87" w14:textId="31D5FEEA" w:rsidR="00121680" w:rsidRPr="007A47E0" w:rsidRDefault="00891D3F" w:rsidP="007A47E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891D3F">
              <w:rPr>
                <w:b/>
                <w:sz w:val="24"/>
                <w:szCs w:val="24"/>
              </w:rPr>
              <w:t>$1,571,215</w:t>
            </w:r>
          </w:p>
        </w:tc>
        <w:tc>
          <w:tcPr>
            <w:tcW w:w="2326" w:type="dxa"/>
          </w:tcPr>
          <w:p w14:paraId="7C6E9FF0" w14:textId="26966ABD" w:rsidR="00121680" w:rsidRPr="007A47E0" w:rsidRDefault="00891D3F" w:rsidP="007A47E0">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$11</w:t>
            </w:r>
            <w:r w:rsidR="007A47E0" w:rsidRPr="007A47E0">
              <w:rPr>
                <w:b/>
                <w:sz w:val="24"/>
                <w:szCs w:val="24"/>
              </w:rPr>
              <w:t>,</w:t>
            </w:r>
            <w:r>
              <w:rPr>
                <w:b/>
                <w:sz w:val="24"/>
                <w:szCs w:val="24"/>
              </w:rPr>
              <w:t>497</w:t>
            </w:r>
          </w:p>
        </w:tc>
      </w:tr>
      <w:tr w:rsidR="00121680" w14:paraId="597A3FE8" w14:textId="77777777" w:rsidTr="00BA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3D497D0B" w14:textId="77777777" w:rsidR="00121680" w:rsidRDefault="00121680" w:rsidP="00121680">
            <w:pPr>
              <w:rPr>
                <w:sz w:val="24"/>
                <w:szCs w:val="24"/>
              </w:rPr>
            </w:pPr>
            <w:r>
              <w:rPr>
                <w:sz w:val="24"/>
                <w:szCs w:val="24"/>
              </w:rPr>
              <w:t>ED Visits</w:t>
            </w:r>
          </w:p>
        </w:tc>
        <w:tc>
          <w:tcPr>
            <w:tcW w:w="2083" w:type="dxa"/>
          </w:tcPr>
          <w:p w14:paraId="474EF1C0" w14:textId="5D28B74C" w:rsidR="00121680" w:rsidRPr="007A47E0" w:rsidRDefault="00891D3F" w:rsidP="007A47E0">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53</w:t>
            </w:r>
          </w:p>
        </w:tc>
        <w:tc>
          <w:tcPr>
            <w:tcW w:w="2341" w:type="dxa"/>
          </w:tcPr>
          <w:p w14:paraId="3A9D3C06" w14:textId="4CA487C1" w:rsidR="00121680" w:rsidRPr="007A47E0" w:rsidRDefault="00891D3F" w:rsidP="007A47E0">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891D3F">
              <w:rPr>
                <w:b/>
                <w:sz w:val="24"/>
                <w:szCs w:val="24"/>
              </w:rPr>
              <w:t>$</w:t>
            </w:r>
            <w:r>
              <w:rPr>
                <w:b/>
                <w:sz w:val="24"/>
                <w:szCs w:val="24"/>
              </w:rPr>
              <w:t xml:space="preserve">   </w:t>
            </w:r>
            <w:r w:rsidRPr="00891D3F">
              <w:rPr>
                <w:b/>
                <w:sz w:val="24"/>
                <w:szCs w:val="24"/>
              </w:rPr>
              <w:t>224,437</w:t>
            </w:r>
          </w:p>
        </w:tc>
        <w:tc>
          <w:tcPr>
            <w:tcW w:w="2326" w:type="dxa"/>
          </w:tcPr>
          <w:p w14:paraId="3D1493E3" w14:textId="37DD9832" w:rsidR="00121680" w:rsidRPr="007A47E0" w:rsidRDefault="007A47E0" w:rsidP="007A47E0">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7A47E0">
              <w:rPr>
                <w:b/>
                <w:sz w:val="24"/>
                <w:szCs w:val="24"/>
              </w:rPr>
              <w:t>$  2,</w:t>
            </w:r>
            <w:r w:rsidR="00891D3F">
              <w:rPr>
                <w:b/>
                <w:sz w:val="24"/>
                <w:szCs w:val="24"/>
              </w:rPr>
              <w:t>162</w:t>
            </w:r>
          </w:p>
        </w:tc>
      </w:tr>
      <w:tr w:rsidR="00121680" w14:paraId="0AB49508" w14:textId="77777777" w:rsidTr="00BA4129">
        <w:tc>
          <w:tcPr>
            <w:cnfStyle w:val="001000000000" w:firstRow="0" w:lastRow="0" w:firstColumn="1" w:lastColumn="0" w:oddVBand="0" w:evenVBand="0" w:oddHBand="0" w:evenHBand="0" w:firstRowFirstColumn="0" w:firstRowLastColumn="0" w:lastRowFirstColumn="0" w:lastRowLastColumn="0"/>
            <w:tcW w:w="2610" w:type="dxa"/>
          </w:tcPr>
          <w:p w14:paraId="41F29C52" w14:textId="77777777" w:rsidR="00121680" w:rsidRDefault="00121680" w:rsidP="00121680">
            <w:pPr>
              <w:rPr>
                <w:sz w:val="24"/>
                <w:szCs w:val="24"/>
              </w:rPr>
            </w:pPr>
            <w:r>
              <w:rPr>
                <w:sz w:val="24"/>
                <w:szCs w:val="24"/>
              </w:rPr>
              <w:t>All Nonfatal Drownings</w:t>
            </w:r>
          </w:p>
        </w:tc>
        <w:tc>
          <w:tcPr>
            <w:tcW w:w="2083" w:type="dxa"/>
          </w:tcPr>
          <w:p w14:paraId="1363C4FE" w14:textId="4CDA6FC3" w:rsidR="00121680" w:rsidRPr="007A47E0" w:rsidRDefault="00891D3F" w:rsidP="007A47E0">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101</w:t>
            </w:r>
          </w:p>
        </w:tc>
        <w:tc>
          <w:tcPr>
            <w:tcW w:w="2341" w:type="dxa"/>
          </w:tcPr>
          <w:p w14:paraId="7588F785" w14:textId="7B69C72D" w:rsidR="00121680" w:rsidRPr="007A47E0" w:rsidRDefault="00891D3F" w:rsidP="007A47E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891D3F">
              <w:rPr>
                <w:b/>
                <w:sz w:val="24"/>
                <w:szCs w:val="24"/>
              </w:rPr>
              <w:t>$1,795,652</w:t>
            </w:r>
          </w:p>
        </w:tc>
        <w:tc>
          <w:tcPr>
            <w:tcW w:w="2326" w:type="dxa"/>
          </w:tcPr>
          <w:p w14:paraId="228CB2D0" w14:textId="229BE499" w:rsidR="00121680" w:rsidRPr="007A47E0" w:rsidRDefault="00891D3F" w:rsidP="007A47E0">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4,662</w:t>
            </w:r>
          </w:p>
        </w:tc>
      </w:tr>
    </w:tbl>
    <w:p w14:paraId="4CC6019D" w14:textId="77777777" w:rsidR="00121680" w:rsidRDefault="00121680" w:rsidP="00121680">
      <w:pPr>
        <w:rPr>
          <w:sz w:val="24"/>
          <w:szCs w:val="24"/>
        </w:rPr>
      </w:pPr>
    </w:p>
    <w:p w14:paraId="6338B63B" w14:textId="0FE7086E" w:rsidR="007A47E0" w:rsidRDefault="007A47E0" w:rsidP="00121680">
      <w:pPr>
        <w:rPr>
          <w:sz w:val="24"/>
          <w:szCs w:val="24"/>
        </w:rPr>
      </w:pPr>
      <w:r>
        <w:rPr>
          <w:sz w:val="24"/>
          <w:szCs w:val="24"/>
        </w:rPr>
        <w:t>The figures below display fatal and nonfatal drowning rates by age and gender</w:t>
      </w:r>
      <w:r w:rsidR="00831981">
        <w:rPr>
          <w:sz w:val="24"/>
          <w:szCs w:val="24"/>
        </w:rPr>
        <w:t xml:space="preserve"> for 2012-2014</w:t>
      </w:r>
      <w:r>
        <w:rPr>
          <w:sz w:val="24"/>
          <w:szCs w:val="24"/>
        </w:rPr>
        <w:t>.</w:t>
      </w:r>
    </w:p>
    <w:p w14:paraId="11B3D93E" w14:textId="451B4821" w:rsidR="007A47E0" w:rsidRDefault="007A47E0" w:rsidP="007A47E0">
      <w:pPr>
        <w:pStyle w:val="ListParagraph"/>
        <w:numPr>
          <w:ilvl w:val="0"/>
          <w:numId w:val="2"/>
        </w:numPr>
        <w:rPr>
          <w:sz w:val="24"/>
          <w:szCs w:val="24"/>
        </w:rPr>
      </w:pPr>
      <w:r>
        <w:rPr>
          <w:sz w:val="24"/>
          <w:szCs w:val="24"/>
        </w:rPr>
        <w:t xml:space="preserve">Fatal drowning rates were highest among </w:t>
      </w:r>
      <w:r w:rsidR="00082AF7">
        <w:rPr>
          <w:sz w:val="24"/>
          <w:szCs w:val="24"/>
        </w:rPr>
        <w:t>elderly adults</w:t>
      </w:r>
      <w:r w:rsidR="00235F35">
        <w:rPr>
          <w:sz w:val="24"/>
          <w:szCs w:val="24"/>
        </w:rPr>
        <w:t xml:space="preserve"> aged 65 or </w:t>
      </w:r>
      <w:r w:rsidR="00831981">
        <w:rPr>
          <w:sz w:val="24"/>
          <w:szCs w:val="24"/>
        </w:rPr>
        <w:t>more years.</w:t>
      </w:r>
    </w:p>
    <w:p w14:paraId="3BA1D0E7" w14:textId="15BFBD1D" w:rsidR="007A47E0" w:rsidRDefault="00727191" w:rsidP="007A47E0">
      <w:pPr>
        <w:pStyle w:val="ListParagraph"/>
        <w:numPr>
          <w:ilvl w:val="0"/>
          <w:numId w:val="2"/>
        </w:numPr>
        <w:rPr>
          <w:sz w:val="24"/>
          <w:szCs w:val="24"/>
        </w:rPr>
      </w:pPr>
      <w:r>
        <w:rPr>
          <w:sz w:val="24"/>
          <w:szCs w:val="24"/>
        </w:rPr>
        <w:t>Men</w:t>
      </w:r>
      <w:r w:rsidR="007A47E0">
        <w:rPr>
          <w:sz w:val="24"/>
          <w:szCs w:val="24"/>
        </w:rPr>
        <w:t xml:space="preserve"> were </w:t>
      </w:r>
      <w:r w:rsidR="000370CD">
        <w:rPr>
          <w:sz w:val="24"/>
          <w:szCs w:val="24"/>
        </w:rPr>
        <w:t>more than</w:t>
      </w:r>
      <w:r w:rsidR="007A47E0">
        <w:rPr>
          <w:sz w:val="24"/>
          <w:szCs w:val="24"/>
        </w:rPr>
        <w:t xml:space="preserve"> four times </w:t>
      </w:r>
      <w:r w:rsidR="00082AF7">
        <w:rPr>
          <w:sz w:val="24"/>
          <w:szCs w:val="24"/>
        </w:rPr>
        <w:t xml:space="preserve">more </w:t>
      </w:r>
      <w:r w:rsidR="007A47E0">
        <w:rPr>
          <w:sz w:val="24"/>
          <w:szCs w:val="24"/>
        </w:rPr>
        <w:t xml:space="preserve">likely than </w:t>
      </w:r>
      <w:r>
        <w:rPr>
          <w:sz w:val="24"/>
          <w:szCs w:val="24"/>
        </w:rPr>
        <w:t>women</w:t>
      </w:r>
      <w:r w:rsidR="007A47E0">
        <w:rPr>
          <w:sz w:val="24"/>
          <w:szCs w:val="24"/>
        </w:rPr>
        <w:t xml:space="preserve"> to die from unint</w:t>
      </w:r>
      <w:r w:rsidR="00982B34">
        <w:rPr>
          <w:sz w:val="24"/>
          <w:szCs w:val="24"/>
        </w:rPr>
        <w:t>entional drow</w:t>
      </w:r>
      <w:r w:rsidR="007A47E0">
        <w:rPr>
          <w:sz w:val="24"/>
          <w:szCs w:val="24"/>
        </w:rPr>
        <w:t>nings.</w:t>
      </w:r>
    </w:p>
    <w:p w14:paraId="49D7FC4B" w14:textId="77777777" w:rsidR="00082AF7" w:rsidRDefault="00082AF7" w:rsidP="00082AF7">
      <w:pPr>
        <w:pStyle w:val="ListParagraph"/>
        <w:rPr>
          <w:sz w:val="24"/>
          <w:szCs w:val="24"/>
        </w:rPr>
      </w:pPr>
      <w:bookmarkStart w:id="0" w:name="_GoBack"/>
      <w:bookmarkEnd w:id="0"/>
    </w:p>
    <w:p w14:paraId="7DF6A2EF" w14:textId="77777777" w:rsidR="00082AF7" w:rsidRDefault="00082AF7" w:rsidP="00082AF7">
      <w:pPr>
        <w:jc w:val="center"/>
        <w:rPr>
          <w:sz w:val="24"/>
          <w:szCs w:val="24"/>
        </w:rPr>
      </w:pPr>
      <w:r>
        <w:rPr>
          <w:noProof/>
        </w:rPr>
        <w:drawing>
          <wp:inline distT="0" distB="0" distL="0" distR="0" wp14:anchorId="66E2FC73" wp14:editId="602CE91C">
            <wp:extent cx="512445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9D594EB" w14:textId="32B2CDF4" w:rsidR="00151B61" w:rsidRDefault="00151B61" w:rsidP="00151B61">
      <w:pPr>
        <w:pStyle w:val="ListParagraph"/>
        <w:numPr>
          <w:ilvl w:val="0"/>
          <w:numId w:val="4"/>
        </w:numPr>
        <w:rPr>
          <w:sz w:val="24"/>
          <w:szCs w:val="24"/>
        </w:rPr>
      </w:pPr>
      <w:r>
        <w:rPr>
          <w:sz w:val="24"/>
          <w:szCs w:val="24"/>
        </w:rPr>
        <w:t>Children</w:t>
      </w:r>
      <w:r w:rsidR="009F6BB6">
        <w:rPr>
          <w:sz w:val="24"/>
          <w:szCs w:val="24"/>
        </w:rPr>
        <w:t xml:space="preserve"> a</w:t>
      </w:r>
      <w:r w:rsidR="006A1477">
        <w:rPr>
          <w:sz w:val="24"/>
          <w:szCs w:val="24"/>
        </w:rPr>
        <w:t xml:space="preserve">ged 0-17 years </w:t>
      </w:r>
      <w:r w:rsidR="00653E6C">
        <w:rPr>
          <w:sz w:val="24"/>
          <w:szCs w:val="24"/>
        </w:rPr>
        <w:t>accounted for 65</w:t>
      </w:r>
      <w:r w:rsidR="006A1477">
        <w:rPr>
          <w:sz w:val="24"/>
          <w:szCs w:val="24"/>
        </w:rPr>
        <w:t xml:space="preserve">% of </w:t>
      </w:r>
      <w:r w:rsidR="009F6BB6">
        <w:rPr>
          <w:sz w:val="24"/>
          <w:szCs w:val="24"/>
        </w:rPr>
        <w:t xml:space="preserve">all nonfatal drownings. The nonfatal drowning rate for this group is </w:t>
      </w:r>
      <w:r w:rsidR="00653E6C">
        <w:rPr>
          <w:sz w:val="24"/>
          <w:szCs w:val="24"/>
        </w:rPr>
        <w:t>more than</w:t>
      </w:r>
      <w:r w:rsidR="009F6BB6">
        <w:rPr>
          <w:sz w:val="24"/>
          <w:szCs w:val="24"/>
        </w:rPr>
        <w:t xml:space="preserve"> </w:t>
      </w:r>
      <w:r w:rsidR="00653E6C">
        <w:rPr>
          <w:sz w:val="24"/>
          <w:szCs w:val="24"/>
        </w:rPr>
        <w:t>three</w:t>
      </w:r>
      <w:r w:rsidR="009F6BB6">
        <w:rPr>
          <w:sz w:val="24"/>
          <w:szCs w:val="24"/>
        </w:rPr>
        <w:t xml:space="preserve"> times higher than any other age group.</w:t>
      </w:r>
    </w:p>
    <w:p w14:paraId="11BF035E" w14:textId="16D0450F" w:rsidR="00151B61" w:rsidRDefault="009F6BB6" w:rsidP="00151B61">
      <w:pPr>
        <w:pStyle w:val="ListParagraph"/>
        <w:numPr>
          <w:ilvl w:val="0"/>
          <w:numId w:val="4"/>
        </w:numPr>
        <w:rPr>
          <w:sz w:val="24"/>
          <w:szCs w:val="24"/>
        </w:rPr>
      </w:pPr>
      <w:r>
        <w:rPr>
          <w:sz w:val="24"/>
          <w:szCs w:val="24"/>
        </w:rPr>
        <w:t xml:space="preserve">Nonfatal drowning rates among </w:t>
      </w:r>
      <w:r w:rsidR="006A1477">
        <w:rPr>
          <w:sz w:val="24"/>
          <w:szCs w:val="24"/>
        </w:rPr>
        <w:t>men</w:t>
      </w:r>
      <w:r>
        <w:rPr>
          <w:sz w:val="24"/>
          <w:szCs w:val="24"/>
        </w:rPr>
        <w:t xml:space="preserve"> were nearly twice that of </w:t>
      </w:r>
      <w:r w:rsidR="006A1477">
        <w:rPr>
          <w:sz w:val="24"/>
          <w:szCs w:val="24"/>
        </w:rPr>
        <w:t>women</w:t>
      </w:r>
      <w:r>
        <w:rPr>
          <w:sz w:val="24"/>
          <w:szCs w:val="24"/>
        </w:rPr>
        <w:t xml:space="preserve">. </w:t>
      </w:r>
    </w:p>
    <w:p w14:paraId="67F0FAB2" w14:textId="77777777" w:rsidR="00151B61" w:rsidRDefault="00151B61" w:rsidP="00AC6C19">
      <w:pPr>
        <w:pStyle w:val="ListParagraph"/>
        <w:rPr>
          <w:sz w:val="24"/>
          <w:szCs w:val="24"/>
        </w:rPr>
      </w:pPr>
    </w:p>
    <w:p w14:paraId="22CE7ECB" w14:textId="40BDA51A" w:rsidR="0086682C" w:rsidRPr="00151B61" w:rsidRDefault="00FC62A6" w:rsidP="00AC6C19">
      <w:pPr>
        <w:pStyle w:val="ListParagraph"/>
        <w:rPr>
          <w:sz w:val="24"/>
          <w:szCs w:val="24"/>
        </w:rPr>
      </w:pPr>
      <w:r>
        <w:rPr>
          <w:noProof/>
        </w:rPr>
        <w:lastRenderedPageBreak/>
        <w:drawing>
          <wp:inline distT="0" distB="0" distL="0" distR="0" wp14:anchorId="4673BD2C" wp14:editId="75479B08">
            <wp:extent cx="5124450" cy="4117340"/>
            <wp:effectExtent l="0" t="0" r="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86682C" w:rsidRPr="00151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606"/>
    <w:multiLevelType w:val="hybridMultilevel"/>
    <w:tmpl w:val="78B8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6365F"/>
    <w:multiLevelType w:val="hybridMultilevel"/>
    <w:tmpl w:val="536A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542EE"/>
    <w:multiLevelType w:val="hybridMultilevel"/>
    <w:tmpl w:val="B1C0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6738D"/>
    <w:multiLevelType w:val="hybridMultilevel"/>
    <w:tmpl w:val="747E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D9"/>
    <w:rsid w:val="00004983"/>
    <w:rsid w:val="000370CD"/>
    <w:rsid w:val="00045DC4"/>
    <w:rsid w:val="00082AF7"/>
    <w:rsid w:val="000F5E4B"/>
    <w:rsid w:val="00121680"/>
    <w:rsid w:val="001305AD"/>
    <w:rsid w:val="00151B61"/>
    <w:rsid w:val="00221348"/>
    <w:rsid w:val="00235F35"/>
    <w:rsid w:val="003115D7"/>
    <w:rsid w:val="003577C5"/>
    <w:rsid w:val="00556F3D"/>
    <w:rsid w:val="005A726B"/>
    <w:rsid w:val="005F3713"/>
    <w:rsid w:val="006200D9"/>
    <w:rsid w:val="00653E6C"/>
    <w:rsid w:val="006754C6"/>
    <w:rsid w:val="006A1477"/>
    <w:rsid w:val="006E7856"/>
    <w:rsid w:val="00727191"/>
    <w:rsid w:val="007A47E0"/>
    <w:rsid w:val="00831981"/>
    <w:rsid w:val="00856611"/>
    <w:rsid w:val="0086682C"/>
    <w:rsid w:val="00872F8A"/>
    <w:rsid w:val="00891D3F"/>
    <w:rsid w:val="008934AD"/>
    <w:rsid w:val="008B21E1"/>
    <w:rsid w:val="0092201B"/>
    <w:rsid w:val="00982B34"/>
    <w:rsid w:val="009D7617"/>
    <w:rsid w:val="009F6BB6"/>
    <w:rsid w:val="00A222CD"/>
    <w:rsid w:val="00AC6C19"/>
    <w:rsid w:val="00BA4129"/>
    <w:rsid w:val="00D30921"/>
    <w:rsid w:val="00D569DA"/>
    <w:rsid w:val="00DB483C"/>
    <w:rsid w:val="00E12FCC"/>
    <w:rsid w:val="00FC5029"/>
    <w:rsid w:val="00FC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CC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0D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200D9"/>
    <w:pPr>
      <w:ind w:left="720"/>
      <w:contextualSpacing/>
    </w:pPr>
  </w:style>
  <w:style w:type="table" w:styleId="TableGrid">
    <w:name w:val="Table Grid"/>
    <w:basedOn w:val="TableNormal"/>
    <w:uiPriority w:val="59"/>
    <w:rsid w:val="009D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D761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D761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2-Accent4">
    <w:name w:val="Medium Shading 2 Accent 4"/>
    <w:basedOn w:val="TableNormal"/>
    <w:uiPriority w:val="64"/>
    <w:rsid w:val="009D76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082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US" sz="1200"/>
              <a:t>Fatal</a:t>
            </a:r>
            <a:r>
              <a:rPr lang="en-US" sz="1200" baseline="0"/>
              <a:t> Drowning Rates by Age Group &amp; Gender, </a:t>
            </a:r>
          </a:p>
          <a:p>
            <a:pPr>
              <a:defRPr sz="1200"/>
            </a:pPr>
            <a:r>
              <a:rPr lang="en-US" sz="1200" baseline="0"/>
              <a:t>Miami-Dade County, 2012 - 2014</a:t>
            </a:r>
            <a:endParaRPr lang="en-US" sz="1200"/>
          </a:p>
        </c:rich>
      </c:tx>
      <c:overlay val="0"/>
    </c:title>
    <c:autoTitleDeleted val="0"/>
    <c:plotArea>
      <c:layout/>
      <c:barChart>
        <c:barDir val="col"/>
        <c:grouping val="clustered"/>
        <c:varyColors val="0"/>
        <c:ser>
          <c:idx val="0"/>
          <c:order val="0"/>
          <c:invertIfNegative val="0"/>
          <c:dLbls>
            <c:dLbl>
              <c:idx val="1"/>
              <c:layout>
                <c:manualLayout>
                  <c:x val="0"/>
                  <c:y val="1.3888524351122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5435245471000803E-17"/>
                  <c:y val="1.3888888888888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38888888888889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0 - 17 Years</c:v>
                </c:pt>
                <c:pt idx="1">
                  <c:v>18 - 24 Years</c:v>
                </c:pt>
                <c:pt idx="2">
                  <c:v>25 - 44 Years</c:v>
                </c:pt>
                <c:pt idx="3">
                  <c:v>45 - 64 Years</c:v>
                </c:pt>
                <c:pt idx="4">
                  <c:v>65+ Years</c:v>
                </c:pt>
                <c:pt idx="5">
                  <c:v>Male</c:v>
                </c:pt>
                <c:pt idx="6">
                  <c:v>Female</c:v>
                </c:pt>
              </c:strCache>
            </c:strRef>
          </c:cat>
          <c:val>
            <c:numRef>
              <c:f>Sheet1!$G$2:$G$8</c:f>
              <c:numCache>
                <c:formatCode>0.00</c:formatCode>
                <c:ptCount val="7"/>
                <c:pt idx="0">
                  <c:v>1.075001672224823</c:v>
                </c:pt>
                <c:pt idx="1">
                  <c:v>2.5880974759238828</c:v>
                </c:pt>
                <c:pt idx="2">
                  <c:v>1.014309135605755</c:v>
                </c:pt>
                <c:pt idx="3">
                  <c:v>1.490191559157624</c:v>
                </c:pt>
                <c:pt idx="4">
                  <c:v>2.62092511667485</c:v>
                </c:pt>
                <c:pt idx="5">
                  <c:v>2.5828653775949482</c:v>
                </c:pt>
                <c:pt idx="6">
                  <c:v>0.55307106535816797</c:v>
                </c:pt>
              </c:numCache>
            </c:numRef>
          </c:val>
        </c:ser>
        <c:dLbls>
          <c:showLegendKey val="0"/>
          <c:showVal val="0"/>
          <c:showCatName val="0"/>
          <c:showSerName val="0"/>
          <c:showPercent val="0"/>
          <c:showBubbleSize val="0"/>
        </c:dLbls>
        <c:gapWidth val="150"/>
        <c:axId val="304452376"/>
        <c:axId val="304452768"/>
      </c:barChart>
      <c:catAx>
        <c:axId val="304452376"/>
        <c:scaling>
          <c:orientation val="minMax"/>
        </c:scaling>
        <c:delete val="0"/>
        <c:axPos val="b"/>
        <c:numFmt formatCode="General" sourceLinked="0"/>
        <c:majorTickMark val="none"/>
        <c:minorTickMark val="none"/>
        <c:tickLblPos val="nextTo"/>
        <c:txPr>
          <a:bodyPr/>
          <a:lstStyle/>
          <a:p>
            <a:pPr>
              <a:defRPr sz="1000"/>
            </a:pPr>
            <a:endParaRPr lang="en-US"/>
          </a:p>
        </c:txPr>
        <c:crossAx val="304452768"/>
        <c:crosses val="autoZero"/>
        <c:auto val="1"/>
        <c:lblAlgn val="ctr"/>
        <c:lblOffset val="100"/>
        <c:noMultiLvlLbl val="0"/>
      </c:catAx>
      <c:valAx>
        <c:axId val="304452768"/>
        <c:scaling>
          <c:orientation val="minMax"/>
        </c:scaling>
        <c:delete val="0"/>
        <c:axPos val="l"/>
        <c:majorGridlines/>
        <c:title>
          <c:tx>
            <c:rich>
              <a:bodyPr/>
              <a:lstStyle/>
              <a:p>
                <a:pPr>
                  <a:defRPr sz="1050"/>
                </a:pPr>
                <a:r>
                  <a:rPr lang="en-US" sz="1100"/>
                  <a:t>Rate/100,000</a:t>
                </a:r>
              </a:p>
            </c:rich>
          </c:tx>
          <c:layout>
            <c:manualLayout>
              <c:xMode val="edge"/>
              <c:yMode val="edge"/>
              <c:x val="1.4869888475836399E-2"/>
              <c:y val="0.37073089822105598"/>
            </c:manualLayout>
          </c:layout>
          <c:overlay val="0"/>
        </c:title>
        <c:numFmt formatCode="0.00" sourceLinked="1"/>
        <c:majorTickMark val="none"/>
        <c:minorTickMark val="none"/>
        <c:tickLblPos val="nextTo"/>
        <c:txPr>
          <a:bodyPr/>
          <a:lstStyle/>
          <a:p>
            <a:pPr>
              <a:defRPr sz="1000"/>
            </a:pPr>
            <a:endParaRPr lang="en-US"/>
          </a:p>
        </c:txPr>
        <c:crossAx val="3044523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US" sz="1200"/>
              <a:t>Nonfatal</a:t>
            </a:r>
            <a:r>
              <a:rPr lang="en-US" sz="1200" baseline="0"/>
              <a:t> Drowning Rates by Age Group &amp; Gender, </a:t>
            </a:r>
          </a:p>
          <a:p>
            <a:pPr>
              <a:defRPr sz="1200"/>
            </a:pPr>
            <a:r>
              <a:rPr lang="en-US" sz="1200" baseline="0"/>
              <a:t>Miami-Dade County, 2012 - 2014</a:t>
            </a:r>
            <a:endParaRPr lang="en-US" sz="1200"/>
          </a:p>
        </c:rich>
      </c:tx>
      <c:overlay val="0"/>
    </c:title>
    <c:autoTitleDeleted val="0"/>
    <c:plotArea>
      <c:layout/>
      <c:barChart>
        <c:barDir val="col"/>
        <c:grouping val="clustered"/>
        <c:varyColors val="0"/>
        <c:ser>
          <c:idx val="0"/>
          <c:order val="0"/>
          <c:invertIfNegative val="0"/>
          <c:dLbls>
            <c:dLbl>
              <c:idx val="1"/>
              <c:layout>
                <c:manualLayout>
                  <c:x val="0"/>
                  <c:y val="1.3888524351122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5435245471000803E-17"/>
                  <c:y val="1.3888888888888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9.25354719309068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9.2535471930906849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6.1690314620604569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38888888888889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0 - 17 Years</c:v>
                </c:pt>
                <c:pt idx="1">
                  <c:v>18 - 24 Years</c:v>
                </c:pt>
                <c:pt idx="2">
                  <c:v>25 - 44 Years</c:v>
                </c:pt>
                <c:pt idx="3">
                  <c:v>45 - 64 Years</c:v>
                </c:pt>
                <c:pt idx="4">
                  <c:v>65+ Years</c:v>
                </c:pt>
                <c:pt idx="5">
                  <c:v>Male</c:v>
                </c:pt>
                <c:pt idx="6">
                  <c:v>Female</c:v>
                </c:pt>
              </c:strCache>
            </c:strRef>
          </c:cat>
          <c:val>
            <c:numRef>
              <c:f>Sheet1!$G$2:$G$8</c:f>
              <c:numCache>
                <c:formatCode>0.00</c:formatCode>
                <c:ptCount val="7"/>
                <c:pt idx="0">
                  <c:v>12.780575436450681</c:v>
                </c:pt>
                <c:pt idx="1">
                  <c:v>3.4053914156893201</c:v>
                </c:pt>
                <c:pt idx="2">
                  <c:v>2.2130381140489188</c:v>
                </c:pt>
                <c:pt idx="3">
                  <c:v>1.2914993512699411</c:v>
                </c:pt>
                <c:pt idx="4">
                  <c:v>1.310462558337425</c:v>
                </c:pt>
                <c:pt idx="5">
                  <c:v>5.5651429269829276</c:v>
                </c:pt>
                <c:pt idx="6">
                  <c:v>3.041890859469921</c:v>
                </c:pt>
              </c:numCache>
            </c:numRef>
          </c:val>
        </c:ser>
        <c:dLbls>
          <c:showLegendKey val="0"/>
          <c:showVal val="0"/>
          <c:showCatName val="0"/>
          <c:showSerName val="0"/>
          <c:showPercent val="0"/>
          <c:showBubbleSize val="0"/>
        </c:dLbls>
        <c:gapWidth val="150"/>
        <c:axId val="304421120"/>
        <c:axId val="304423080"/>
      </c:barChart>
      <c:catAx>
        <c:axId val="304421120"/>
        <c:scaling>
          <c:orientation val="minMax"/>
        </c:scaling>
        <c:delete val="0"/>
        <c:axPos val="b"/>
        <c:numFmt formatCode="General" sourceLinked="0"/>
        <c:majorTickMark val="none"/>
        <c:minorTickMark val="none"/>
        <c:tickLblPos val="nextTo"/>
        <c:txPr>
          <a:bodyPr/>
          <a:lstStyle/>
          <a:p>
            <a:pPr>
              <a:defRPr sz="1000"/>
            </a:pPr>
            <a:endParaRPr lang="en-US"/>
          </a:p>
        </c:txPr>
        <c:crossAx val="304423080"/>
        <c:crosses val="autoZero"/>
        <c:auto val="1"/>
        <c:lblAlgn val="ctr"/>
        <c:lblOffset val="100"/>
        <c:noMultiLvlLbl val="0"/>
      </c:catAx>
      <c:valAx>
        <c:axId val="304423080"/>
        <c:scaling>
          <c:orientation val="minMax"/>
        </c:scaling>
        <c:delete val="0"/>
        <c:axPos val="l"/>
        <c:majorGridlines/>
        <c:title>
          <c:tx>
            <c:rich>
              <a:bodyPr/>
              <a:lstStyle/>
              <a:p>
                <a:pPr>
                  <a:defRPr sz="1050"/>
                </a:pPr>
                <a:r>
                  <a:rPr lang="en-US" sz="1100"/>
                  <a:t>Rate/100,000</a:t>
                </a:r>
              </a:p>
            </c:rich>
          </c:tx>
          <c:layout>
            <c:manualLayout>
              <c:xMode val="edge"/>
              <c:yMode val="edge"/>
              <c:x val="1.4869888475836399E-2"/>
              <c:y val="0.37073089822105598"/>
            </c:manualLayout>
          </c:layout>
          <c:overlay val="0"/>
        </c:title>
        <c:numFmt formatCode="0.00" sourceLinked="1"/>
        <c:majorTickMark val="none"/>
        <c:minorTickMark val="none"/>
        <c:tickLblPos val="nextTo"/>
        <c:txPr>
          <a:bodyPr/>
          <a:lstStyle/>
          <a:p>
            <a:pPr>
              <a:defRPr sz="1000"/>
            </a:pPr>
            <a:endParaRPr lang="en-US"/>
          </a:p>
        </c:txPr>
        <c:crossAx val="3044211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FDOH in Miami-Dade</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Llau, Anthony</dc:creator>
  <cp:lastModifiedBy>Llau, Anthony</cp:lastModifiedBy>
  <cp:revision>5</cp:revision>
  <dcterms:created xsi:type="dcterms:W3CDTF">2016-01-28T15:50:00Z</dcterms:created>
  <dcterms:modified xsi:type="dcterms:W3CDTF">2016-01-28T15:59:00Z</dcterms:modified>
</cp:coreProperties>
</file>